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3AC" w14:textId="77777777" w:rsidR="00987702" w:rsidRDefault="00B90571">
      <w:pPr>
        <w:jc w:val="center"/>
      </w:pPr>
      <w:r>
        <w:rPr>
          <w:b/>
          <w:sz w:val="26"/>
          <w:szCs w:val="26"/>
        </w:rPr>
        <w:t>Čestné prohlášení žadatele o členství v projektu FENIX (Bezpečné VLAN)</w:t>
      </w:r>
    </w:p>
    <w:p w14:paraId="730B257B" w14:textId="77777777" w:rsidR="00987702" w:rsidRDefault="00987702">
      <w:pPr>
        <w:jc w:val="center"/>
        <w:rPr>
          <w:b/>
          <w:sz w:val="26"/>
          <w:szCs w:val="26"/>
        </w:rPr>
      </w:pPr>
    </w:p>
    <w:p w14:paraId="0DA9E463" w14:textId="77777777" w:rsidR="00987702" w:rsidRDefault="00B90571">
      <w:r>
        <w:t>Společnost:</w:t>
      </w:r>
      <w:r>
        <w:tab/>
        <w:t>_______________________</w:t>
      </w:r>
    </w:p>
    <w:p w14:paraId="49AB5174" w14:textId="77777777" w:rsidR="00987702" w:rsidRDefault="00B90571">
      <w:r>
        <w:t>IČ:</w:t>
      </w:r>
      <w:r>
        <w:tab/>
      </w:r>
      <w:r>
        <w:tab/>
        <w:t>_______________________</w:t>
      </w:r>
    </w:p>
    <w:p w14:paraId="4C609E6A" w14:textId="77777777" w:rsidR="00987702" w:rsidRDefault="00B90571">
      <w:r>
        <w:t>Sídlo:</w:t>
      </w:r>
      <w:r>
        <w:tab/>
      </w:r>
      <w:r>
        <w:tab/>
        <w:t>_______________________</w:t>
      </w:r>
    </w:p>
    <w:p w14:paraId="31AA2917" w14:textId="77777777" w:rsidR="00987702" w:rsidRDefault="00B90571">
      <w:r>
        <w:t>Zastoupený</w:t>
      </w:r>
      <w:r>
        <w:tab/>
        <w:t>_______________________</w:t>
      </w:r>
    </w:p>
    <w:p w14:paraId="67F7365D" w14:textId="77777777" w:rsidR="00987702" w:rsidRDefault="00B90571">
      <w:r>
        <w:t>(dále jen „Žadatel“)</w:t>
      </w:r>
    </w:p>
    <w:p w14:paraId="11ED73EA" w14:textId="77777777" w:rsidR="00987702" w:rsidRDefault="00987702"/>
    <w:p w14:paraId="5D84A196" w14:textId="77777777" w:rsidR="00987702" w:rsidRDefault="00B90571">
      <w:r>
        <w:t>Žadatel žádá o členství v projektu FENIX (Bezpečné VLAN) zřízeného v rámci NIX.CZ, z.s.p.o. (dále jen „BV“) v souladu s Pravidly pro připojení do FENIX (Bezpečné VLAN) (dále jen „Pravidla“).</w:t>
      </w:r>
    </w:p>
    <w:p w14:paraId="4437DF91" w14:textId="77777777" w:rsidR="00987702" w:rsidRDefault="00987702"/>
    <w:p w14:paraId="2E88A2FB" w14:textId="77777777" w:rsidR="00987702" w:rsidRDefault="00B90571">
      <w:r>
        <w:t xml:space="preserve">Žadatel prohlašuje, že </w:t>
      </w:r>
    </w:p>
    <w:p w14:paraId="4AE140D6" w14:textId="77777777" w:rsidR="00987702" w:rsidRDefault="00987702"/>
    <w:p w14:paraId="3E8140C9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>se nedopouští, a v minulosti se nedopustil, opakovaného ani podstatného porušení provozního řádu NIX.CZ či stanov NIX.CZ;</w:t>
      </w:r>
    </w:p>
    <w:p w14:paraId="7F9F4033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>provozuje plně redundantní, nepřetížené, a na sobě nezávislé přípojky do nejméně dvou uzlů NIX.CZ tak, aby v případě výpadku všech přípojek do jednoho uzlu NIX.CZ byly ostatní schopny automaticky převzít a přenést bez přetížení veškerý datový provoz vyměňovaný s partnery v NIX.CZ;</w:t>
      </w:r>
    </w:p>
    <w:p w14:paraId="1B6ED4EC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 xml:space="preserve">smluvně zakazuje </w:t>
      </w:r>
      <w:proofErr w:type="spellStart"/>
      <w:r>
        <w:t>svým</w:t>
      </w:r>
      <w:proofErr w:type="spellEnd"/>
      <w:r>
        <w:t xml:space="preserve"> zákazníkům zneužívání sítě (</w:t>
      </w:r>
      <w:proofErr w:type="spellStart"/>
      <w:r>
        <w:t>spamming</w:t>
      </w:r>
      <w:proofErr w:type="spellEnd"/>
      <w:r>
        <w:t>, útoky apod.);</w:t>
      </w:r>
    </w:p>
    <w:p w14:paraId="05EB26E6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 xml:space="preserve">provozuje ve své síti zároveň protokol IPv4 i IPv6, přičemž oba protokoly aktivně užívá k propojení do uzlů NIX.CZ, jejich prostřednictvím zpřístupňuje své webové prezentace, a přiděluje je </w:t>
      </w:r>
      <w:proofErr w:type="spellStart"/>
      <w:r>
        <w:t>svým</w:t>
      </w:r>
      <w:proofErr w:type="spellEnd"/>
      <w:r>
        <w:t xml:space="preserve"> zákazníkům;</w:t>
      </w:r>
    </w:p>
    <w:tbl>
      <w:tblPr>
        <w:tblStyle w:val="TableGrid"/>
        <w:tblW w:w="7699" w:type="dxa"/>
        <w:tblInd w:w="817" w:type="dxa"/>
        <w:tblLook w:val="04A0" w:firstRow="1" w:lastRow="0" w:firstColumn="1" w:lastColumn="0" w:noHBand="0" w:noVBand="1"/>
      </w:tblPr>
      <w:tblGrid>
        <w:gridCol w:w="2977"/>
        <w:gridCol w:w="4722"/>
      </w:tblGrid>
      <w:tr w:rsidR="00987702" w14:paraId="2A32C582" w14:textId="77777777">
        <w:tc>
          <w:tcPr>
            <w:tcW w:w="2977" w:type="dxa"/>
            <w:shd w:val="clear" w:color="auto" w:fill="auto"/>
          </w:tcPr>
          <w:p w14:paraId="293FEBC5" w14:textId="77777777" w:rsidR="00987702" w:rsidRDefault="00B90571">
            <w:pPr>
              <w:spacing w:after="120"/>
              <w:jc w:val="left"/>
            </w:pPr>
            <w:r>
              <w:t>Seznam webových prezentací:</w:t>
            </w:r>
          </w:p>
        </w:tc>
        <w:tc>
          <w:tcPr>
            <w:tcW w:w="4721" w:type="dxa"/>
            <w:shd w:val="clear" w:color="auto" w:fill="auto"/>
          </w:tcPr>
          <w:p w14:paraId="1444B079" w14:textId="77777777" w:rsidR="00987702" w:rsidRDefault="00987702">
            <w:pPr>
              <w:pStyle w:val="ListParagraph"/>
              <w:numPr>
                <w:ilvl w:val="0"/>
                <w:numId w:val="3"/>
              </w:numPr>
              <w:spacing w:after="120"/>
              <w:ind w:left="176" w:hanging="176"/>
              <w:jc w:val="left"/>
            </w:pPr>
          </w:p>
        </w:tc>
      </w:tr>
    </w:tbl>
    <w:p w14:paraId="78CFE4DD" w14:textId="77777777" w:rsidR="00987702" w:rsidRDefault="00987702">
      <w:pPr>
        <w:spacing w:after="120"/>
      </w:pPr>
    </w:p>
    <w:p w14:paraId="5A8BEDEA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>provozuje CERT/CSIRT tým, alespoň se statusem „</w:t>
      </w:r>
      <w:proofErr w:type="spellStart"/>
      <w:r>
        <w:t>listed</w:t>
      </w:r>
      <w:proofErr w:type="spellEnd"/>
      <w:r>
        <w:t xml:space="preserve">“ u úřadu 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Introducer</w:t>
      </w:r>
      <w:proofErr w:type="spellEnd"/>
      <w:r>
        <w:t>;</w:t>
      </w:r>
    </w:p>
    <w:tbl>
      <w:tblPr>
        <w:tblStyle w:val="TableGrid"/>
        <w:tblW w:w="7699" w:type="dxa"/>
        <w:tblInd w:w="817" w:type="dxa"/>
        <w:tblLook w:val="04A0" w:firstRow="1" w:lastRow="0" w:firstColumn="1" w:lastColumn="0" w:noHBand="0" w:noVBand="1"/>
      </w:tblPr>
      <w:tblGrid>
        <w:gridCol w:w="2977"/>
        <w:gridCol w:w="4722"/>
      </w:tblGrid>
      <w:tr w:rsidR="00987702" w14:paraId="3CBF5774" w14:textId="77777777">
        <w:tc>
          <w:tcPr>
            <w:tcW w:w="2977" w:type="dxa"/>
            <w:shd w:val="clear" w:color="auto" w:fill="auto"/>
          </w:tcPr>
          <w:p w14:paraId="45331F1F" w14:textId="77777777" w:rsidR="00987702" w:rsidRDefault="00B90571">
            <w:pPr>
              <w:spacing w:after="120"/>
              <w:jc w:val="left"/>
            </w:pPr>
            <w:r>
              <w:t>Oficiální název týmu:</w:t>
            </w:r>
          </w:p>
        </w:tc>
        <w:tc>
          <w:tcPr>
            <w:tcW w:w="4721" w:type="dxa"/>
            <w:shd w:val="clear" w:color="auto" w:fill="auto"/>
          </w:tcPr>
          <w:p w14:paraId="553DBE6E" w14:textId="77777777" w:rsidR="00987702" w:rsidRDefault="00987702">
            <w:pPr>
              <w:pStyle w:val="ListParagraph"/>
              <w:numPr>
                <w:ilvl w:val="0"/>
                <w:numId w:val="3"/>
              </w:numPr>
              <w:spacing w:after="120"/>
              <w:ind w:left="176" w:hanging="176"/>
              <w:jc w:val="left"/>
            </w:pPr>
          </w:p>
        </w:tc>
      </w:tr>
    </w:tbl>
    <w:p w14:paraId="138AE0A6" w14:textId="77777777" w:rsidR="00987702" w:rsidRDefault="00987702">
      <w:pPr>
        <w:pStyle w:val="ListParagraph"/>
        <w:spacing w:after="120"/>
        <w:ind w:left="714"/>
      </w:pPr>
    </w:p>
    <w:p w14:paraId="51D8FC2C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 xml:space="preserve">má své domény, pod </w:t>
      </w:r>
      <w:proofErr w:type="spellStart"/>
      <w:r>
        <w:t>kterými</w:t>
      </w:r>
      <w:proofErr w:type="spellEnd"/>
      <w:r>
        <w:t xml:space="preserve"> komunikuje se </w:t>
      </w:r>
      <w:proofErr w:type="spellStart"/>
      <w:r>
        <w:t>svými</w:t>
      </w:r>
      <w:proofErr w:type="spellEnd"/>
      <w:r>
        <w:t xml:space="preserve"> zákazníky či obchodními partnery (včetně webů společnosti a </w:t>
      </w:r>
      <w:proofErr w:type="spellStart"/>
      <w:r>
        <w:t>produktových</w:t>
      </w:r>
      <w:proofErr w:type="spellEnd"/>
      <w:r>
        <w:t xml:space="preserve"> webů), podepsané pomocí technologie DNSSEC, s </w:t>
      </w:r>
      <w:proofErr w:type="spellStart"/>
      <w:r>
        <w:t>výjimkou</w:t>
      </w:r>
      <w:proofErr w:type="spellEnd"/>
      <w:r>
        <w:t xml:space="preserve"> situací, kdy nasazení podepisování brání vážné technické důvody, a má zapnutou validaci na resolverech;</w:t>
      </w:r>
    </w:p>
    <w:tbl>
      <w:tblPr>
        <w:tblStyle w:val="TableGrid"/>
        <w:tblW w:w="7699" w:type="dxa"/>
        <w:tblInd w:w="817" w:type="dxa"/>
        <w:tblLook w:val="04A0" w:firstRow="1" w:lastRow="0" w:firstColumn="1" w:lastColumn="0" w:noHBand="0" w:noVBand="1"/>
      </w:tblPr>
      <w:tblGrid>
        <w:gridCol w:w="2566"/>
        <w:gridCol w:w="2566"/>
        <w:gridCol w:w="2567"/>
      </w:tblGrid>
      <w:tr w:rsidR="00987702" w14:paraId="3FE7064F" w14:textId="77777777">
        <w:tc>
          <w:tcPr>
            <w:tcW w:w="2566" w:type="dxa"/>
            <w:shd w:val="clear" w:color="auto" w:fill="auto"/>
          </w:tcPr>
          <w:p w14:paraId="0C4F02D9" w14:textId="77777777" w:rsidR="00987702" w:rsidRDefault="00B90571">
            <w:pPr>
              <w:spacing w:after="120"/>
              <w:jc w:val="left"/>
            </w:pPr>
            <w:r>
              <w:t>Seznam domén podepsaných DNSSEC</w:t>
            </w:r>
          </w:p>
        </w:tc>
        <w:tc>
          <w:tcPr>
            <w:tcW w:w="2566" w:type="dxa"/>
            <w:shd w:val="clear" w:color="auto" w:fill="auto"/>
          </w:tcPr>
          <w:p w14:paraId="4E2CF0A9" w14:textId="77777777" w:rsidR="00987702" w:rsidRDefault="00B90571">
            <w:pPr>
              <w:spacing w:after="120"/>
              <w:jc w:val="left"/>
            </w:pPr>
            <w:r>
              <w:t>Seznam domén nepodepsaných DNSSEC</w:t>
            </w:r>
          </w:p>
        </w:tc>
        <w:tc>
          <w:tcPr>
            <w:tcW w:w="2567" w:type="dxa"/>
            <w:shd w:val="clear" w:color="auto" w:fill="auto"/>
          </w:tcPr>
          <w:p w14:paraId="2D195538" w14:textId="77777777" w:rsidR="00987702" w:rsidRDefault="00B90571">
            <w:pPr>
              <w:spacing w:after="120"/>
              <w:jc w:val="left"/>
            </w:pPr>
            <w:r>
              <w:t>Důvody nepodepsání</w:t>
            </w:r>
          </w:p>
        </w:tc>
      </w:tr>
      <w:tr w:rsidR="00987702" w14:paraId="16595E91" w14:textId="77777777">
        <w:tc>
          <w:tcPr>
            <w:tcW w:w="2566" w:type="dxa"/>
            <w:shd w:val="clear" w:color="auto" w:fill="auto"/>
          </w:tcPr>
          <w:p w14:paraId="1CE9CAAF" w14:textId="77777777" w:rsidR="00987702" w:rsidRDefault="00987702">
            <w:pPr>
              <w:pStyle w:val="ListParagraph"/>
              <w:numPr>
                <w:ilvl w:val="0"/>
                <w:numId w:val="3"/>
              </w:numPr>
              <w:spacing w:after="120"/>
              <w:ind w:left="176" w:hanging="176"/>
              <w:jc w:val="left"/>
            </w:pPr>
          </w:p>
        </w:tc>
        <w:tc>
          <w:tcPr>
            <w:tcW w:w="2566" w:type="dxa"/>
            <w:shd w:val="clear" w:color="auto" w:fill="auto"/>
          </w:tcPr>
          <w:p w14:paraId="50116813" w14:textId="77777777" w:rsidR="00987702" w:rsidRDefault="00987702">
            <w:pPr>
              <w:pStyle w:val="ListParagraph"/>
              <w:numPr>
                <w:ilvl w:val="0"/>
                <w:numId w:val="3"/>
              </w:numPr>
              <w:spacing w:after="120"/>
              <w:ind w:left="176" w:hanging="176"/>
              <w:jc w:val="left"/>
            </w:pPr>
          </w:p>
        </w:tc>
        <w:tc>
          <w:tcPr>
            <w:tcW w:w="2567" w:type="dxa"/>
            <w:shd w:val="clear" w:color="auto" w:fill="auto"/>
          </w:tcPr>
          <w:p w14:paraId="46D28C33" w14:textId="77777777" w:rsidR="00987702" w:rsidRDefault="00987702">
            <w:pPr>
              <w:pStyle w:val="ListParagraph"/>
              <w:numPr>
                <w:ilvl w:val="0"/>
                <w:numId w:val="3"/>
              </w:numPr>
              <w:spacing w:after="120"/>
              <w:ind w:left="176" w:hanging="176"/>
              <w:jc w:val="left"/>
            </w:pPr>
          </w:p>
        </w:tc>
      </w:tr>
    </w:tbl>
    <w:p w14:paraId="7D8D9293" w14:textId="77777777" w:rsidR="00987702" w:rsidRDefault="00987702">
      <w:pPr>
        <w:spacing w:after="120"/>
      </w:pPr>
    </w:p>
    <w:p w14:paraId="3B3D108E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 xml:space="preserve">má dohledové středisko (NOC) bezproblémově fungující v režimu 24x7 s alespoň jedním telefonickým kontaktem bez obtíží dosažitelným i v případě masivního </w:t>
      </w:r>
      <w:proofErr w:type="spellStart"/>
      <w:r>
        <w:t>DDoS</w:t>
      </w:r>
      <w:proofErr w:type="spellEnd"/>
      <w:r>
        <w:t xml:space="preserve"> útoku na internetovou infrastrukturu člena zveřejněným v intranetu NIX.CZ, přičemž telefonické spojení je směřováno přímo na techniky schopné řešit problém a nesmí být realizováno přes IVR;</w:t>
      </w:r>
    </w:p>
    <w:p w14:paraId="30B0FADE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>ve své síti používá filtrování zdrojových adres (zabránění IP spoofingu) ve smyslu BCP-38 či SAC004. Pro IP adresy v rámci vlastních AS je granularita alespoň /24 u IPv4 a /48 u IPv6;</w:t>
      </w:r>
    </w:p>
    <w:p w14:paraId="1094E3FA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lastRenderedPageBreak/>
        <w:t xml:space="preserve">má systém na detekci a likvidaci zdrojů útoku typ </w:t>
      </w:r>
      <w:proofErr w:type="spellStart"/>
      <w:r>
        <w:t>amplification</w:t>
      </w:r>
      <w:proofErr w:type="spellEnd"/>
      <w:r>
        <w:t xml:space="preserve"> (například DNS, SNMP, NTP, zákaz nespravovaných otevřených </w:t>
      </w:r>
      <w:proofErr w:type="spellStart"/>
      <w:r>
        <w:t>resolverů</w:t>
      </w:r>
      <w:proofErr w:type="spellEnd"/>
      <w:r>
        <w:t xml:space="preserve">, implementace response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limiting</w:t>
      </w:r>
      <w:proofErr w:type="spellEnd"/>
      <w:r>
        <w:t>)</w:t>
      </w:r>
      <w:bookmarkStart w:id="0" w:name="_Ref244251127"/>
      <w:r>
        <w:t>;</w:t>
      </w:r>
      <w:bookmarkEnd w:id="0"/>
    </w:p>
    <w:p w14:paraId="3AFAB2AE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bookmarkStart w:id="1" w:name="_Ref244251129"/>
      <w:r>
        <w:t>monitoruje páteřní linky i zákaznické přípojky z hlediska toků a přenášených packetů (například MRTG či obdobné), monitoring umí aktivně upozornit na vybočení sledovaných hodnot z běžného intervalu;</w:t>
      </w:r>
      <w:bookmarkEnd w:id="1"/>
    </w:p>
    <w:p w14:paraId="3EA59447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>nepropaguje pomocí BGP protokolu jiné rozsahy, než ke kterým je oprávněn;</w:t>
      </w:r>
    </w:p>
    <w:p w14:paraId="7136442D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>neposílá ze své sítě provoz z rozsahů, které nepropaguje;</w:t>
      </w:r>
    </w:p>
    <w:p w14:paraId="49E27120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>své routery chrání v souladu s doporučením RFC6192 (</w:t>
      </w:r>
      <w:proofErr w:type="spellStart"/>
      <w:r>
        <w:t>control</w:t>
      </w:r>
      <w:proofErr w:type="spellEnd"/>
      <w:r>
        <w:t xml:space="preserve"> plane </w:t>
      </w:r>
      <w:proofErr w:type="spellStart"/>
      <w:r>
        <w:t>policy</w:t>
      </w:r>
      <w:proofErr w:type="spellEnd"/>
      <w:r>
        <w:t>);</w:t>
      </w:r>
    </w:p>
    <w:p w14:paraId="0F1ABF5B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>má zavedeny vnitřní procesy pro řešení incidentů;</w:t>
      </w:r>
    </w:p>
    <w:p w14:paraId="102BBAA9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>zahájí práce na odstranění/omezení bezpečnostního incidentu co nejrychleji, nejpozději do 30 minut od jeho nahlášení;</w:t>
      </w:r>
    </w:p>
    <w:p w14:paraId="78A4AC80" w14:textId="77777777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>sleduje bezpečnostní oznámení dodavatelů svých síťových komponent a patřičně na ně reaguje;</w:t>
      </w:r>
    </w:p>
    <w:p w14:paraId="607A92CC" w14:textId="683A1B42" w:rsidR="00987702" w:rsidRDefault="00B90571">
      <w:pPr>
        <w:pStyle w:val="ListParagraph"/>
        <w:numPr>
          <w:ilvl w:val="0"/>
          <w:numId w:val="2"/>
        </w:numPr>
        <w:spacing w:after="120"/>
        <w:ind w:left="714" w:hanging="357"/>
      </w:pPr>
      <w:r>
        <w:t xml:space="preserve">má všechny své weby, na kterých komunikuje se svými zákazníky či obchodními partnery, trvale přesměrovány na protokol HTTPS opatřený TLS certifikátem důvěryhodným v nejrozšířenějších webových prohlížečích, bez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contentu</w:t>
      </w:r>
      <w:proofErr w:type="spellEnd"/>
      <w:r>
        <w:t xml:space="preserve"> a s vypnutými šiframi, které nejsou považovány za bezpečné.</w:t>
      </w:r>
    </w:p>
    <w:p w14:paraId="1834A7A5" w14:textId="204CC629" w:rsidR="006C2EE3" w:rsidRDefault="00277114">
      <w:pPr>
        <w:pStyle w:val="ListParagraph"/>
        <w:numPr>
          <w:ilvl w:val="0"/>
          <w:numId w:val="2"/>
        </w:numPr>
        <w:spacing w:after="120"/>
        <w:ind w:left="714" w:hanging="357"/>
      </w:pPr>
      <w:r w:rsidRPr="003965C3">
        <w:t>využívá pro jeho síť zabezpečení směrování síťového provozu technologii RPKI. Využíváním technologie RPKI se rozumí vytvoření a udržování ROA záznamů vlastněných prefixů. Ve svých vstupních filtrech má nastaveno odmítnutí nevalidních RPKI prefixů</w:t>
      </w:r>
    </w:p>
    <w:p w14:paraId="595E9651" w14:textId="77777777" w:rsidR="00987702" w:rsidRDefault="00987702"/>
    <w:p w14:paraId="1CB98515" w14:textId="77777777" w:rsidR="00987702" w:rsidRDefault="00B90571">
      <w:bookmarkStart w:id="2" w:name="_Ref244251233"/>
      <w:bookmarkStart w:id="3" w:name="OLE_LINK2"/>
      <w:bookmarkStart w:id="4" w:name="OLE_LINK1"/>
      <w:r>
        <w:t>Žadatel prohlašuje, že</w:t>
      </w:r>
      <w:bookmarkEnd w:id="2"/>
      <w:bookmarkEnd w:id="3"/>
      <w:bookmarkEnd w:id="4"/>
      <w:r>
        <w:t xml:space="preserve"> splňuje a po dobu členství v BV bude splňovat provozní podmínky stanovené v článku 3 Pravidel.</w:t>
      </w:r>
    </w:p>
    <w:p w14:paraId="14334070" w14:textId="77777777" w:rsidR="00987702" w:rsidRDefault="00987702"/>
    <w:p w14:paraId="0D3BB8F2" w14:textId="77777777" w:rsidR="00987702" w:rsidRDefault="00987702"/>
    <w:p w14:paraId="4732CE7E" w14:textId="77777777" w:rsidR="00987702" w:rsidRDefault="00987702"/>
    <w:p w14:paraId="0328828E" w14:textId="77777777" w:rsidR="00987702" w:rsidRDefault="00987702"/>
    <w:p w14:paraId="44253FB4" w14:textId="77777777" w:rsidR="00987702" w:rsidRDefault="00987702"/>
    <w:p w14:paraId="6409A61F" w14:textId="77777777" w:rsidR="00987702" w:rsidRDefault="00987702"/>
    <w:p w14:paraId="6136D9E9" w14:textId="77777777" w:rsidR="00987702" w:rsidRDefault="00987702"/>
    <w:p w14:paraId="1052BA01" w14:textId="77777777" w:rsidR="00987702" w:rsidRDefault="00B90571">
      <w:r>
        <w:t>V ________, dne _____________</w:t>
      </w:r>
    </w:p>
    <w:p w14:paraId="50B68397" w14:textId="77777777" w:rsidR="00987702" w:rsidRDefault="00987702"/>
    <w:p w14:paraId="04E31FC9" w14:textId="77777777" w:rsidR="00987702" w:rsidRDefault="00B9057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471306" w14:textId="77777777" w:rsidR="00987702" w:rsidRDefault="00987702"/>
    <w:p w14:paraId="79B19F13" w14:textId="77777777" w:rsidR="00987702" w:rsidRDefault="00987702"/>
    <w:p w14:paraId="2E308A33" w14:textId="77777777" w:rsidR="00987702" w:rsidRDefault="00B9057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Podpis:_</w:t>
      </w:r>
      <w:proofErr w:type="gramEnd"/>
      <w:r>
        <w:t>______________________</w:t>
      </w:r>
    </w:p>
    <w:p w14:paraId="17328864" w14:textId="77777777" w:rsidR="00987702" w:rsidRDefault="00987702"/>
    <w:sectPr w:rsidR="00987702">
      <w:footerReference w:type="default" r:id="rId7"/>
      <w:footerReference w:type="first" r:id="rId8"/>
      <w:pgSz w:w="11906" w:h="16838"/>
      <w:pgMar w:top="1440" w:right="1800" w:bottom="1967" w:left="1800" w:header="0" w:footer="14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CD5B" w14:textId="77777777" w:rsidR="00D83C74" w:rsidRDefault="00D83C74">
      <w:r>
        <w:separator/>
      </w:r>
    </w:p>
  </w:endnote>
  <w:endnote w:type="continuationSeparator" w:id="0">
    <w:p w14:paraId="6EC4F861" w14:textId="77777777" w:rsidR="00D83C74" w:rsidRDefault="00D8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DA71" w14:textId="77777777" w:rsidR="00987702" w:rsidRDefault="00B90571">
    <w:pPr>
      <w:pStyle w:val="Footer"/>
      <w:rPr>
        <w:sz w:val="16"/>
        <w:szCs w:val="16"/>
      </w:rPr>
    </w:pPr>
    <w:r>
      <w:rPr>
        <w:sz w:val="16"/>
        <w:szCs w:val="16"/>
      </w:rPr>
      <w:t>FECP2019v5-1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7569" w14:textId="77777777" w:rsidR="00987702" w:rsidRDefault="00B90571">
    <w:pPr>
      <w:pStyle w:val="Footer"/>
      <w:rPr>
        <w:sz w:val="16"/>
        <w:szCs w:val="16"/>
      </w:rPr>
    </w:pPr>
    <w:r>
      <w:rPr>
        <w:sz w:val="16"/>
        <w:szCs w:val="16"/>
      </w:rPr>
      <w:t>FECP2019v5-1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7C37" w14:textId="77777777" w:rsidR="00D83C74" w:rsidRDefault="00D83C74">
      <w:r>
        <w:separator/>
      </w:r>
    </w:p>
  </w:footnote>
  <w:footnote w:type="continuationSeparator" w:id="0">
    <w:p w14:paraId="3EEF3900" w14:textId="77777777" w:rsidR="00D83C74" w:rsidRDefault="00D8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433"/>
    <w:multiLevelType w:val="multilevel"/>
    <w:tmpl w:val="EAEAB466"/>
    <w:lvl w:ilvl="0">
      <w:start w:val="1"/>
      <w:numFmt w:val="decimal"/>
      <w:pStyle w:val="Heading1"/>
      <w:lvlText w:val="%1."/>
      <w:lvlJc w:val="left"/>
      <w:pPr>
        <w:ind w:left="709" w:hanging="708"/>
      </w:pPr>
    </w:lvl>
    <w:lvl w:ilvl="1">
      <w:start w:val="1"/>
      <w:numFmt w:val="decimal"/>
      <w:pStyle w:val="Heading2"/>
      <w:lvlText w:val="%1.%2."/>
      <w:lvlJc w:val="left"/>
      <w:pPr>
        <w:ind w:left="1418" w:hanging="708"/>
      </w:pPr>
    </w:lvl>
    <w:lvl w:ilvl="2">
      <w:start w:val="1"/>
      <w:numFmt w:val="decimal"/>
      <w:pStyle w:val="Heading3"/>
      <w:lvlText w:val="%1.%2.%3."/>
      <w:lvlJc w:val="left"/>
      <w:pPr>
        <w:ind w:left="2269" w:hanging="708"/>
      </w:pPr>
    </w:lvl>
    <w:lvl w:ilvl="3">
      <w:start w:val="1"/>
      <w:numFmt w:val="decimal"/>
      <w:pStyle w:val="Heading4"/>
      <w:lvlText w:val="%1.%2.%3.%4."/>
      <w:lvlJc w:val="left"/>
      <w:pPr>
        <w:ind w:left="3402" w:hanging="708"/>
      </w:pPr>
    </w:lvl>
    <w:lvl w:ilvl="4">
      <w:start w:val="1"/>
      <w:numFmt w:val="decimal"/>
      <w:pStyle w:val="Heading5"/>
      <w:lvlText w:val="%1.%2.%3.%4.%5."/>
      <w:lvlJc w:val="left"/>
      <w:pPr>
        <w:ind w:left="4962" w:hanging="708"/>
      </w:pPr>
    </w:lvl>
    <w:lvl w:ilvl="5">
      <w:start w:val="1"/>
      <w:numFmt w:val="decimal"/>
      <w:pStyle w:val="Heading6"/>
      <w:lvlText w:val="%1.%2.%3.%4.%5.%6."/>
      <w:lvlJc w:val="left"/>
      <w:pPr>
        <w:ind w:left="5529" w:hanging="708"/>
      </w:pPr>
    </w:lvl>
    <w:lvl w:ilvl="6">
      <w:start w:val="1"/>
      <w:numFmt w:val="decimal"/>
      <w:pStyle w:val="Heading7"/>
      <w:lvlText w:val="%1.%2.%3.%4.%5.%6.%7.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vlJc w:val="left"/>
      <w:pPr>
        <w:ind w:left="6372" w:hanging="708"/>
      </w:pPr>
    </w:lvl>
  </w:abstractNum>
  <w:abstractNum w:abstractNumId="1" w15:restartNumberingAfterBreak="0">
    <w:nsid w:val="15406801"/>
    <w:multiLevelType w:val="multilevel"/>
    <w:tmpl w:val="7DA0C4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6667C"/>
    <w:multiLevelType w:val="multilevel"/>
    <w:tmpl w:val="D6F62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yMDI3szA3MDc3MDZS0lEKTi0uzszPAykwrgUAqbExASwAAAA="/>
  </w:docVars>
  <w:rsids>
    <w:rsidRoot w:val="00987702"/>
    <w:rsid w:val="00277114"/>
    <w:rsid w:val="003965C3"/>
    <w:rsid w:val="006C2EE3"/>
    <w:rsid w:val="007C74F1"/>
    <w:rsid w:val="00987702"/>
    <w:rsid w:val="00B90571"/>
    <w:rsid w:val="00D83C74"/>
    <w:rsid w:val="00D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5DEF"/>
  <w15:docId w15:val="{CBABFD4C-2820-40A0-A4B1-3E91B223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C0"/>
    <w:pPr>
      <w:jc w:val="both"/>
    </w:pPr>
    <w:rPr>
      <w:rFonts w:asciiTheme="majorHAnsi" w:eastAsia="MS Mincho" w:hAnsiTheme="majorHAnsi"/>
      <w:sz w:val="22"/>
    </w:rPr>
  </w:style>
  <w:style w:type="paragraph" w:styleId="Heading1">
    <w:name w:val="heading 1"/>
    <w:basedOn w:val="Normal"/>
    <w:next w:val="Heading2"/>
    <w:link w:val="Heading1Char"/>
    <w:qFormat/>
    <w:rsid w:val="00983AC0"/>
    <w:pPr>
      <w:keepNext/>
      <w:numPr>
        <w:numId w:val="1"/>
      </w:numPr>
      <w:spacing w:before="480" w:after="120" w:line="280" w:lineRule="atLeast"/>
      <w:ind w:hanging="709"/>
      <w:outlineLvl w:val="0"/>
    </w:pPr>
    <w:rPr>
      <w:rFonts w:eastAsia="Times New Roman" w:cs="Times New Roman"/>
      <w:b/>
      <w:caps/>
      <w:color w:val="4F81BD"/>
      <w:kern w:val="2"/>
      <w:sz w:val="20"/>
      <w:szCs w:val="20"/>
      <w:lang w:eastAsia="cs-CZ"/>
    </w:rPr>
  </w:style>
  <w:style w:type="paragraph" w:styleId="Heading2">
    <w:name w:val="heading 2"/>
    <w:basedOn w:val="Normal"/>
    <w:link w:val="Heading2Char"/>
    <w:qFormat/>
    <w:rsid w:val="00983AC0"/>
    <w:pPr>
      <w:numPr>
        <w:ilvl w:val="1"/>
        <w:numId w:val="1"/>
      </w:numPr>
      <w:spacing w:after="120" w:line="280" w:lineRule="atLeast"/>
      <w:ind w:left="709" w:hanging="709"/>
      <w:outlineLvl w:val="1"/>
    </w:pPr>
    <w:rPr>
      <w:rFonts w:eastAsia="Times New Roman" w:cs="Times New Roman"/>
      <w:sz w:val="20"/>
      <w:szCs w:val="20"/>
      <w:lang w:eastAsia="cs-CZ"/>
    </w:rPr>
  </w:style>
  <w:style w:type="paragraph" w:styleId="Heading3">
    <w:name w:val="heading 3"/>
    <w:basedOn w:val="Normal"/>
    <w:link w:val="Heading3Char"/>
    <w:qFormat/>
    <w:rsid w:val="00983AC0"/>
    <w:pPr>
      <w:numPr>
        <w:ilvl w:val="2"/>
        <w:numId w:val="1"/>
      </w:numPr>
      <w:spacing w:after="120" w:line="280" w:lineRule="atLeast"/>
      <w:ind w:left="1560" w:hanging="851"/>
      <w:outlineLvl w:val="2"/>
    </w:pPr>
    <w:rPr>
      <w:rFonts w:eastAsia="Times New Roman" w:cs="Times New Roman"/>
      <w:sz w:val="20"/>
      <w:szCs w:val="20"/>
      <w:lang w:eastAsia="cs-CZ"/>
    </w:rPr>
  </w:style>
  <w:style w:type="paragraph" w:styleId="Heading4">
    <w:name w:val="heading 4"/>
    <w:basedOn w:val="Normal"/>
    <w:link w:val="Heading4Char"/>
    <w:qFormat/>
    <w:rsid w:val="00983AC0"/>
    <w:pPr>
      <w:numPr>
        <w:ilvl w:val="3"/>
        <w:numId w:val="1"/>
      </w:numPr>
      <w:spacing w:after="120" w:line="280" w:lineRule="atLeast"/>
      <w:ind w:left="2694" w:hanging="1134"/>
      <w:outlineLvl w:val="3"/>
    </w:pPr>
    <w:rPr>
      <w:rFonts w:eastAsia="Times New Roman" w:cs="Times New Roman"/>
      <w:sz w:val="20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983AC0"/>
    <w:pPr>
      <w:numPr>
        <w:ilvl w:val="4"/>
        <w:numId w:val="1"/>
      </w:numPr>
      <w:spacing w:after="120" w:line="280" w:lineRule="atLeast"/>
      <w:ind w:hanging="1560"/>
      <w:outlineLvl w:val="4"/>
    </w:pPr>
    <w:rPr>
      <w:rFonts w:eastAsia="Times New Roman" w:cs="Times New Roman"/>
      <w:sz w:val="20"/>
      <w:szCs w:val="20"/>
      <w:lang w:eastAsia="cs-CZ"/>
    </w:rPr>
  </w:style>
  <w:style w:type="paragraph" w:styleId="Heading6">
    <w:name w:val="heading 6"/>
    <w:basedOn w:val="Normal"/>
    <w:link w:val="Heading6Char"/>
    <w:qFormat/>
    <w:rsid w:val="00983AC0"/>
    <w:pPr>
      <w:numPr>
        <w:ilvl w:val="5"/>
        <w:numId w:val="1"/>
      </w:numPr>
      <w:spacing w:after="120" w:line="280" w:lineRule="atLeast"/>
      <w:ind w:hanging="1560"/>
      <w:outlineLvl w:val="5"/>
    </w:pPr>
    <w:rPr>
      <w:rFonts w:eastAsia="Times New Roman" w:cs="Times New Roman"/>
      <w:sz w:val="20"/>
      <w:szCs w:val="20"/>
      <w:lang w:eastAsia="cs-CZ"/>
    </w:rPr>
  </w:style>
  <w:style w:type="paragraph" w:styleId="Heading7">
    <w:name w:val="heading 7"/>
    <w:basedOn w:val="Normal"/>
    <w:link w:val="Heading7Char"/>
    <w:qFormat/>
    <w:rsid w:val="00983AC0"/>
    <w:pPr>
      <w:numPr>
        <w:ilvl w:val="6"/>
        <w:numId w:val="1"/>
      </w:numPr>
      <w:spacing w:after="120" w:line="280" w:lineRule="atLeast"/>
      <w:outlineLvl w:val="6"/>
    </w:pPr>
    <w:rPr>
      <w:rFonts w:eastAsia="Times New Roman" w:cs="Times New Roman"/>
      <w:sz w:val="20"/>
      <w:szCs w:val="20"/>
      <w:lang w:eastAsia="cs-CZ"/>
    </w:rPr>
  </w:style>
  <w:style w:type="paragraph" w:styleId="Heading8">
    <w:name w:val="heading 8"/>
    <w:basedOn w:val="Normal"/>
    <w:link w:val="Heading8Char"/>
    <w:qFormat/>
    <w:rsid w:val="00983AC0"/>
    <w:pPr>
      <w:numPr>
        <w:ilvl w:val="7"/>
        <w:numId w:val="1"/>
      </w:numPr>
      <w:spacing w:after="120" w:line="280" w:lineRule="atLeast"/>
      <w:outlineLvl w:val="7"/>
    </w:pPr>
    <w:rPr>
      <w:rFonts w:eastAsia="Times New Roman" w:cs="Times New Roman"/>
      <w:sz w:val="20"/>
      <w:szCs w:val="20"/>
      <w:lang w:eastAsia="cs-CZ"/>
    </w:rPr>
  </w:style>
  <w:style w:type="paragraph" w:styleId="Heading9">
    <w:name w:val="heading 9"/>
    <w:basedOn w:val="Normal"/>
    <w:link w:val="Heading9Char"/>
    <w:qFormat/>
    <w:rsid w:val="00983AC0"/>
    <w:pPr>
      <w:numPr>
        <w:ilvl w:val="8"/>
        <w:numId w:val="1"/>
      </w:numPr>
      <w:spacing w:after="120" w:line="280" w:lineRule="atLeast"/>
      <w:outlineLvl w:val="8"/>
    </w:pPr>
    <w:rPr>
      <w:rFonts w:eastAsia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83AC0"/>
    <w:rPr>
      <w:rFonts w:asciiTheme="majorHAnsi" w:eastAsia="Times New Roman" w:hAnsiTheme="majorHAnsi" w:cs="Times New Roman"/>
      <w:b/>
      <w:caps/>
      <w:color w:val="4F81BD"/>
      <w:kern w:val="2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qFormat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qFormat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Heading4Char">
    <w:name w:val="Heading 4 Char"/>
    <w:basedOn w:val="DefaultParagraphFont"/>
    <w:link w:val="Heading4"/>
    <w:qFormat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qFormat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Heading6Char">
    <w:name w:val="Heading 6 Char"/>
    <w:basedOn w:val="DefaultParagraphFont"/>
    <w:link w:val="Heading6"/>
    <w:qFormat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Heading7Char">
    <w:name w:val="Heading 7 Char"/>
    <w:basedOn w:val="DefaultParagraphFont"/>
    <w:link w:val="Heading7"/>
    <w:qFormat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Heading8Char">
    <w:name w:val="Heading 8 Char"/>
    <w:basedOn w:val="DefaultParagraphFont"/>
    <w:link w:val="Heading8"/>
    <w:qFormat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Heading9Char">
    <w:name w:val="Heading 9 Char"/>
    <w:basedOn w:val="DefaultParagraphFont"/>
    <w:link w:val="Heading9"/>
    <w:qFormat/>
    <w:rsid w:val="00983AC0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qFormat/>
    <w:rsid w:val="00983AC0"/>
    <w:rPr>
      <w:rFonts w:asciiTheme="majorHAnsi" w:eastAsia="Times New Roman" w:hAnsiTheme="majorHAnsi" w:cs="Times New Roman"/>
      <w:sz w:val="16"/>
      <w:szCs w:val="20"/>
      <w:lang w:eastAsia="cs-CZ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607415"/>
    <w:pPr>
      <w:ind w:left="720"/>
      <w:contextualSpacing/>
    </w:pPr>
  </w:style>
  <w:style w:type="paragraph" w:styleId="Header">
    <w:name w:val="header"/>
    <w:basedOn w:val="Normal"/>
    <w:link w:val="HeaderChar"/>
    <w:rsid w:val="00983AC0"/>
    <w:pPr>
      <w:tabs>
        <w:tab w:val="center" w:pos="4536"/>
        <w:tab w:val="right" w:pos="9072"/>
      </w:tabs>
      <w:spacing w:line="280" w:lineRule="atLeast"/>
    </w:pPr>
    <w:rPr>
      <w:rFonts w:eastAsia="Times New Roman" w:cs="Times New Roman"/>
      <w:sz w:val="16"/>
      <w:szCs w:val="20"/>
      <w:lang w:eastAsia="cs-CZ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F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3216</Characters>
  <Application>Microsoft Office Word</Application>
  <DocSecurity>0</DocSecurity>
  <Lines>26</Lines>
  <Paragraphs>7</Paragraphs>
  <ScaleCrop>false</ScaleCrop>
  <Company>ČÍŽEK HOSTAŠ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Hostaš</dc:creator>
  <dc:description/>
  <cp:lastModifiedBy>Marian Rychtecky</cp:lastModifiedBy>
  <cp:revision>6</cp:revision>
  <cp:lastPrinted>2019-02-18T15:53:00Z</cp:lastPrinted>
  <dcterms:created xsi:type="dcterms:W3CDTF">2022-02-02T13:40:00Z</dcterms:created>
  <dcterms:modified xsi:type="dcterms:W3CDTF">2022-03-25T18:05:00Z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ČÍŽEK HOSTAŠ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